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-432" w:type="dxa"/>
        <w:tblLook w:val="0000"/>
      </w:tblPr>
      <w:tblGrid>
        <w:gridCol w:w="5360"/>
        <w:gridCol w:w="283"/>
        <w:gridCol w:w="493"/>
        <w:gridCol w:w="222"/>
        <w:gridCol w:w="4530"/>
      </w:tblGrid>
      <w:tr w:rsidR="00D00750" w:rsidRPr="0026710C" w:rsidTr="00F61E99">
        <w:trPr>
          <w:trHeight w:val="1438"/>
        </w:trPr>
        <w:tc>
          <w:tcPr>
            <w:tcW w:w="10888" w:type="dxa"/>
            <w:gridSpan w:val="5"/>
          </w:tcPr>
          <w:p w:rsidR="00D00750" w:rsidRPr="00856A07" w:rsidRDefault="00D00750" w:rsidP="00F61E99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D00750" w:rsidRPr="0071661E" w:rsidRDefault="001667F5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667F5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5pt;margin-top:-10.5pt;width:210.75pt;height:103.5pt;z-index:251659264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 w:rsidRPr="001667F5"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251658240" o:connectortype="straight"/>
              </w:pict>
            </w:r>
            <w:r w:rsidR="00D00750" w:rsidRPr="0071661E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71661E" w:rsidRPr="00315E23" w:rsidRDefault="00D00750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71661E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71661E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71661E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D00750" w:rsidRPr="0071661E" w:rsidRDefault="00781A66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D00750" w:rsidRPr="0071661E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  <w:r w:rsidR="00D00750" w:rsidRPr="0071661E">
              <w:rPr>
                <w:rFonts w:ascii="Arial" w:hAnsi="Arial" w:cs="Arial"/>
                <w:sz w:val="39"/>
                <w:szCs w:val="39"/>
                <w:lang w:val="en-US"/>
              </w:rPr>
              <w:br/>
            </w:r>
            <w:r w:rsidR="00D00750" w:rsidRPr="0071661E">
              <w:rPr>
                <w:rFonts w:ascii="Arial" w:hAnsi="Arial" w:cs="Arial"/>
                <w:sz w:val="40"/>
                <w:szCs w:val="40"/>
                <w:lang w:val="en-US"/>
              </w:rPr>
              <w:t>MATTE FINISH 548</w:t>
            </w:r>
          </w:p>
          <w:p w:rsidR="00D00750" w:rsidRPr="00D00750" w:rsidRDefault="00D00750" w:rsidP="00F61E99">
            <w:pPr>
              <w:pStyle w:val="1"/>
              <w:spacing w:before="2" w:after="2"/>
              <w:ind w:left="4685" w:hanging="4685"/>
              <w:rPr>
                <w:rFonts w:ascii="Arial" w:hAnsi="Arial" w:cs="Arial"/>
                <w:i/>
                <w:lang w:val="ru-RU"/>
              </w:rPr>
            </w:pPr>
            <w:r w:rsidRPr="00D00750">
              <w:rPr>
                <w:rFonts w:ascii="Arial" w:hAnsi="Arial" w:cs="Arial"/>
                <w:i/>
                <w:lang w:val="ru-RU"/>
              </w:rPr>
              <w:t xml:space="preserve">Совершенно </w:t>
            </w:r>
            <w:r w:rsidR="0071661E">
              <w:rPr>
                <w:rFonts w:ascii="Arial" w:hAnsi="Arial" w:cs="Arial"/>
                <w:i/>
                <w:lang w:val="ru-RU"/>
              </w:rPr>
              <w:t>матовая краска</w:t>
            </w:r>
            <w:r w:rsidR="00781A66">
              <w:rPr>
                <w:rFonts w:ascii="Arial" w:hAnsi="Arial" w:cs="Arial"/>
                <w:i/>
                <w:lang w:val="ru-RU"/>
              </w:rPr>
              <w:t xml:space="preserve"> на водной основе</w:t>
            </w:r>
            <w:r w:rsidRPr="00D00750">
              <w:rPr>
                <w:rFonts w:ascii="Arial" w:hAnsi="Arial" w:cs="Arial"/>
                <w:i/>
                <w:lang w:val="ru-RU"/>
              </w:rPr>
              <w:t xml:space="preserve"> для внутренних работ</w:t>
            </w:r>
          </w:p>
          <w:p w:rsidR="00D00750" w:rsidRPr="0026710C" w:rsidRDefault="00D00750" w:rsidP="00F61E99">
            <w:pPr>
              <w:rPr>
                <w:bCs/>
                <w:sz w:val="28"/>
                <w:szCs w:val="28"/>
              </w:rPr>
            </w:pPr>
          </w:p>
        </w:tc>
      </w:tr>
      <w:tr w:rsidR="00D00750" w:rsidTr="00F61E99">
        <w:trPr>
          <w:trHeight w:val="304"/>
        </w:trPr>
        <w:tc>
          <w:tcPr>
            <w:tcW w:w="5360" w:type="dxa"/>
            <w:shd w:val="clear" w:color="auto" w:fill="000000"/>
          </w:tcPr>
          <w:p w:rsidR="00D00750" w:rsidRDefault="00D00750" w:rsidP="00F61E99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D00750" w:rsidTr="00F61E99">
        <w:trPr>
          <w:trHeight w:val="1615"/>
        </w:trPr>
        <w:tc>
          <w:tcPr>
            <w:tcW w:w="5360" w:type="dxa"/>
          </w:tcPr>
          <w:p w:rsidR="00D00750" w:rsidRPr="00D60883" w:rsidRDefault="00D00750" w:rsidP="00D60883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Запатентованная технология, облегчающая удаление пятен</w:t>
            </w:r>
          </w:p>
          <w:p w:rsidR="00D00750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</w:t>
            </w:r>
            <w:r w:rsidR="00D00750">
              <w:rPr>
                <w:rFonts w:ascii="Lucida Sans Unicode" w:hAnsi="Lucida Sans Unicode" w:cs="Lucida Sans Unicode"/>
                <w:sz w:val="16"/>
                <w:szCs w:val="16"/>
              </w:rPr>
              <w:t xml:space="preserve"> укрывистость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очистки инструментов и подкрашивания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D60883" w:rsidRPr="00224FDD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 на большинстве поверхностей</w:t>
            </w:r>
          </w:p>
          <w:p w:rsidR="00E47E28" w:rsidRPr="00D60883" w:rsidRDefault="00E47E28" w:rsidP="00E47E28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8E2796" w:rsidRPr="00D60883" w:rsidRDefault="00D60883" w:rsidP="00D60883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</w:tc>
        <w:tc>
          <w:tcPr>
            <w:tcW w:w="283" w:type="dxa"/>
          </w:tcPr>
          <w:p w:rsidR="00D00750" w:rsidRDefault="00D00750" w:rsidP="00F61E9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D00750" w:rsidRPr="00224FDD" w:rsidRDefault="00D00750" w:rsidP="00E268D3">
            <w:pPr>
              <w:spacing w:beforeLines="1" w:afterLines="1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C4218">
              <w:rPr>
                <w:rFonts w:ascii="Lucida Sans Unicode" w:hAnsi="Lucida Sans Unicode" w:cs="Lucida Sans Unicode"/>
                <w:sz w:val="16"/>
                <w:szCs w:val="16"/>
              </w:rPr>
              <w:t xml:space="preserve">100%-акриловое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совершенно </w:t>
            </w:r>
            <w:r w:rsidRPr="000C4218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Pr="00E47E28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 w:rsidR="00E47E28" w:rsidRP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 качества </w:t>
            </w:r>
            <w:r w:rsidR="00E47E28" w:rsidRPr="00E47E2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E47E28">
              <w:rPr>
                <w:rFonts w:ascii="Lucida Sans Unicode" w:hAnsi="Lucida Sans Unicode" w:cs="Lucida Sans Unicode"/>
                <w:sz w:val="16"/>
                <w:szCs w:val="16"/>
              </w:rPr>
              <w:t>, которое легко м</w:t>
            </w:r>
            <w:r w:rsidR="008E2796" w:rsidRPr="00E47E28">
              <w:rPr>
                <w:rFonts w:ascii="Lucida Sans Unicode" w:hAnsi="Lucida Sans Unicode" w:cs="Lucida Sans Unicode"/>
                <w:sz w:val="16"/>
                <w:szCs w:val="16"/>
              </w:rPr>
              <w:t>оется водой и мылом. Из</w:t>
            </w:r>
            <w:r w:rsidR="008E2796">
              <w:rPr>
                <w:rFonts w:ascii="Lucida Sans Unicode" w:hAnsi="Lucida Sans Unicode" w:cs="Lucida Sans Unicode"/>
                <w:sz w:val="16"/>
                <w:szCs w:val="16"/>
              </w:rPr>
              <w:t>готовлено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с использованием запатентованной технологии, облегчающей  удаление пятен.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>Большинство видов бытовой грязи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(пыль, саж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>п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>, кетчуп, следы губной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помады и смываемых фломастеров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) можно легко смыть мыльной водой. </w:t>
            </w:r>
          </w:p>
          <w:p w:rsidR="00D00750" w:rsidRPr="00D60883" w:rsidRDefault="00D00750" w:rsidP="00E268D3">
            <w:pPr>
              <w:spacing w:beforeLines="1" w:afterLines="1"/>
              <w:jc w:val="both"/>
              <w:rPr>
                <w:rFonts w:ascii="Cambria" w:hAnsi="Cambria"/>
                <w:sz w:val="22"/>
                <w:szCs w:val="22"/>
              </w:rPr>
            </w:pPr>
            <w:r w:rsidRPr="00224FD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Regal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Select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– самогрунтующуееся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D00750" w:rsidRPr="00F97F75" w:rsidRDefault="00D00750" w:rsidP="00F61E9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0750" w:rsidTr="00F61E99">
        <w:trPr>
          <w:trHeight w:val="306"/>
        </w:trPr>
        <w:tc>
          <w:tcPr>
            <w:tcW w:w="5360" w:type="dxa"/>
            <w:shd w:val="clear" w:color="auto" w:fill="000000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D00750" w:rsidRDefault="00D00750" w:rsidP="00F61E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D00750" w:rsidRPr="00F97F75" w:rsidRDefault="00D00750" w:rsidP="00F61E9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D00750" w:rsidTr="00F61E99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D00750" w:rsidRPr="00F80B03" w:rsidRDefault="00D00750" w:rsidP="00F61E99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Идеально подходит для жилых или коммерческих проектов с интенсивно используемыми поверхностями, где требуется </w:t>
            </w:r>
            <w:r w:rsid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совершенно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завершающее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класса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</w:p>
          <w:p w:rsidR="00D00750" w:rsidRPr="00F97F75" w:rsidRDefault="00D00750" w:rsidP="00F61E99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Рекоменду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ется для нового и ранее окрашенного гипсокартона,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штукатурки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каменной кладки или поверхностей, оклеенных обоями;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загрунтованных или ранее окрашенных деревянных и металлических поверхностей; новых или окрашенных потолков из звукопоглощающей плитки.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750" w:rsidRDefault="00D00750" w:rsidP="00F61E9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00750" w:rsidRDefault="00D00750" w:rsidP="00D00750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D00750" w:rsidRPr="00F97F75" w:rsidRDefault="00D00750" w:rsidP="00F61E99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0750" w:rsidTr="00F61E99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0750" w:rsidRPr="00F97F75" w:rsidRDefault="00D00750" w:rsidP="00F61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D00750" w:rsidTr="00D60883">
        <w:trPr>
          <w:trHeight w:val="7638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96" w:rsidRPr="0079689D" w:rsidRDefault="008E2796" w:rsidP="008E2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8E2796" w:rsidRPr="0079689D" w:rsidRDefault="008E2796" w:rsidP="008E2796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8E2796" w:rsidRPr="008E2796" w:rsidRDefault="008E2796" w:rsidP="008E27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8E2796" w:rsidRPr="0079689D" w:rsidRDefault="008E2796" w:rsidP="008E2796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8E2796" w:rsidRPr="0079689D" w:rsidRDefault="008E2796" w:rsidP="008E27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8E2796" w:rsidRPr="006763E8" w:rsidRDefault="008E2796" w:rsidP="008E2796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8E2796" w:rsidRPr="00E47E28" w:rsidRDefault="008E2796" w:rsidP="008E27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47E2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D60883" w:rsidRPr="00E22AB4" w:rsidRDefault="008E2796" w:rsidP="00D60883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="00D60883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="00D60883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D60883" w:rsidRDefault="00D60883" w:rsidP="00D60883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#53, 53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8E2796" w:rsidRPr="0079689D" w:rsidRDefault="00D60883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8E2796" w:rsidRPr="0079689D" w:rsidRDefault="008E2796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8E2796" w:rsidRPr="00DA4FCC" w:rsidRDefault="00E268D3" w:rsidP="008E279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667F5"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25" type="#_x0000_t75" style="width:114.7pt;height:45.9pt">
                  <v:imagedata r:id="rId9" o:title=""/>
                </v:shape>
              </w:pict>
            </w:r>
          </w:p>
          <w:p w:rsidR="008E2796" w:rsidRPr="0079689D" w:rsidRDefault="008E2796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3"/>
              <w:gridCol w:w="1314"/>
              <w:gridCol w:w="1345"/>
              <w:gridCol w:w="942"/>
            </w:tblGrid>
            <w:tr w:rsidR="008E2796" w:rsidRPr="008E2796" w:rsidTr="00A953BC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8E2796" w:rsidRPr="0079689D" w:rsidTr="00A953BC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8E2796" w:rsidRPr="008E2796" w:rsidRDefault="00D60883" w:rsidP="00A953BC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</w:t>
                  </w:r>
                  <w:r w:rsidR="008E2796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="008E2796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="008E2796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="008E2796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612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2"/>
            </w:tblGrid>
            <w:tr w:rsidR="008E2796" w:rsidTr="00D60883">
              <w:trPr>
                <w:trHeight w:val="529"/>
              </w:trPr>
              <w:tc>
                <w:tcPr>
                  <w:tcW w:w="1002" w:type="dxa"/>
                </w:tcPr>
                <w:p w:rsidR="008E2796" w:rsidRPr="008E2796" w:rsidRDefault="008E2796" w:rsidP="008E279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8E2796" w:rsidRPr="008E2796" w:rsidRDefault="008E2796" w:rsidP="008E279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8E2796" w:rsidTr="00D60883">
              <w:trPr>
                <w:trHeight w:val="558"/>
              </w:trPr>
              <w:tc>
                <w:tcPr>
                  <w:tcW w:w="1002" w:type="dxa"/>
                  <w:shd w:val="clear" w:color="auto" w:fill="66FF33"/>
                </w:tcPr>
                <w:p w:rsidR="008E2796" w:rsidRPr="0079689D" w:rsidRDefault="008E2796" w:rsidP="008E2796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D00750" w:rsidRPr="00E47E28" w:rsidRDefault="008E2796" w:rsidP="00E47E28">
            <w:pPr>
              <w:pStyle w:val="Default"/>
              <w:jc w:val="both"/>
              <w:rPr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справа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этим стандартам.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750" w:rsidRDefault="00D00750" w:rsidP="00F61E99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0" w:rsidRPr="008E2796" w:rsidRDefault="00D00750" w:rsidP="00F61E99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7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запатентованный 100%   акриловый латекс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частиц                                     </w:t>
            </w:r>
            <w:r w:rsidR="0071661E"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42</w:t>
            </w:r>
            <w:r w:rsidR="0071661E"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.9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/гал</w:t>
            </w:r>
          </w:p>
          <w:p w:rsidR="00D00750" w:rsidRPr="0071661E" w:rsidRDefault="00D00750" w:rsidP="00F61E99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               - Сырая                 3.8 мил</w:t>
            </w:r>
          </w:p>
          <w:p w:rsidR="00D00750" w:rsidRPr="008E2796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E27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Высохшая          1.6 мил</w:t>
            </w:r>
          </w:p>
          <w:p w:rsidR="0071661E" w:rsidRPr="008E2796" w:rsidRDefault="0071661E" w:rsidP="0071661E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8E2796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D00750" w:rsidRPr="0071661E" w:rsidRDefault="00D00750" w:rsidP="00F61E9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71661E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71661E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71661E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, 50% относит. влажн.):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D00750" w:rsidRPr="008E2796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71661E" w:rsidRPr="008E2796" w:rsidRDefault="0071661E" w:rsidP="0071661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E2796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93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± 2 по Кребсу                                                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                      Нет      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совершенно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матовая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D00750" w:rsidRPr="00E221FF" w:rsidRDefault="00D00750" w:rsidP="00F61E9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D00750" w:rsidRPr="00E221FF" w:rsidRDefault="00D00750" w:rsidP="00F61E9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="00EE1E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См. таблицу 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D00750" w:rsidRPr="00E221FF" w:rsidRDefault="00D00750" w:rsidP="00F61E99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5,4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D00750" w:rsidRPr="00C4374A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мин.                            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D00750" w:rsidRPr="00C4374A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D60883" w:rsidRPr="003A08F9" w:rsidRDefault="00D60883" w:rsidP="00D60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D60883" w:rsidRDefault="00D60883" w:rsidP="00D60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D00750" w:rsidRPr="0071661E" w:rsidRDefault="00D60883" w:rsidP="00D60883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Нулевое содержание ЛОВ после колерования (любая база и любой цвет)</w:t>
            </w:r>
          </w:p>
        </w:tc>
      </w:tr>
    </w:tbl>
    <w:p w:rsidR="00D00750" w:rsidRDefault="00D00750" w:rsidP="00D00750">
      <w:pPr>
        <w:jc w:val="both"/>
        <w:rPr>
          <w:b/>
        </w:rPr>
        <w:sectPr w:rsidR="00D0075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00750" w:rsidRDefault="001667F5" w:rsidP="00D0075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57216" stroked="f">
            <v:textbox style="mso-next-textbox:#_x0000_s1027">
              <w:txbxContent>
                <w:p w:rsidR="00C4294C" w:rsidRPr="008E2796" w:rsidRDefault="00C4294C" w:rsidP="008E27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 м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еталл (оцинкованный и алюминий):</w:t>
                  </w:r>
                  <w:r w:rsidRPr="008E279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C4294C" w:rsidRPr="00315E23" w:rsidRDefault="00C4294C" w:rsidP="008E2796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Default="00C4294C" w:rsidP="008E2796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</w:p>
                <w:p w:rsidR="00C4294C" w:rsidRPr="00E578D2" w:rsidRDefault="00C4294C" w:rsidP="008E2796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C4294C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 перемешайте перед нанесением, а также периодически помешивайте в процессе работы. Наносите 1 или два слоя. Для получения великолепных результатов рекомендуется использо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вание высококачественных кистей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валиков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 похожих инструментов. Обильно 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аносите по направлению от неокрашенных участков к окрашенным. Покрытие также можно наносить распылителем.</w:t>
                  </w:r>
                </w:p>
                <w:p w:rsidR="00C4294C" w:rsidRDefault="00C4294C" w:rsidP="00D0075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 </w:t>
                  </w: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инструментов: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C4294C" w:rsidRPr="00E1366F" w:rsidTr="00F61E99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C4294C" w:rsidRPr="00027C65" w:rsidRDefault="00C4294C" w:rsidP="00F61E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 Moore® 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C4294C" w:rsidRPr="00E1366F" w:rsidTr="00F61E99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C4294C" w:rsidRPr="00E1366F" w:rsidTr="00F61E99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(относ.вл.&gt;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(относ.вл.&lt;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C4294C" w:rsidRPr="00E1366F" w:rsidTr="00F61E99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C4294C" w:rsidRPr="00E1366F" w:rsidTr="00F61E99"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4294C" w:rsidRPr="00E1366F" w:rsidTr="00F61E99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кв.дюйм</w:t>
                        </w:r>
                      </w:p>
                      <w:p w:rsidR="00C4294C" w:rsidRPr="00E26762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294C" w:rsidRPr="00841227" w:rsidRDefault="00C4294C" w:rsidP="00D0075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После работы промойте кисти, валики и другие инструменты в теплой воде с мылом. Составляющие распылителя ополосните уайт-спиритом, чтобы предотвратить появление ржавчины.</w:t>
                  </w:r>
                </w:p>
                <w:p w:rsidR="00C4294C" w:rsidRPr="00E578D2" w:rsidRDefault="00C4294C" w:rsidP="00D0075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C4294C" w:rsidRPr="002620A9" w:rsidRDefault="00C4294C" w:rsidP="00D0075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C4294C" w:rsidRPr="002620A9" w:rsidRDefault="00C4294C" w:rsidP="00D00750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  <w:lang w:val="ru-RU"/>
                    </w:rPr>
                  </w:pP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</w:t>
                  </w:r>
                  <w:r w:rsidR="00E268D3"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5 лет, от зашифрованного кода производителя, указанного на банке. 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для детей месте</w:t>
                  </w:r>
                </w:p>
                <w:p w:rsidR="00C4294C" w:rsidRDefault="00C4294C" w:rsidP="00C4294C"/>
                <w:p w:rsidR="00C4294C" w:rsidRPr="00A86F42" w:rsidRDefault="00C4294C" w:rsidP="00C4294C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30"/>
                      <w:szCs w:val="30"/>
                      <w:lang w:val="ru-RU"/>
                    </w:rPr>
                  </w:pPr>
                  <w:r w:rsidRPr="00A86F42">
                    <w:rPr>
                      <w:b/>
                      <w:sz w:val="30"/>
                      <w:szCs w:val="30"/>
                      <w:lang w:val="ru-RU"/>
                    </w:rPr>
                    <w:t>ООО  «Компания Виспа»</w:t>
                  </w:r>
                </w:p>
                <w:p w:rsidR="00C4294C" w:rsidRPr="00A86F42" w:rsidRDefault="00C4294C" w:rsidP="00C4294C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sz w:val="24"/>
                      <w:szCs w:val="24"/>
                    </w:rPr>
                    <w:object w:dxaOrig="5894" w:dyaOrig="4454">
                      <v:shape id="_x0000_i1027" type="#_x0000_t75" style="width:23.6pt;height:17.85pt" o:ole="">
                        <v:imagedata r:id="rId10" o:title=""/>
                      </v:shape>
                      <o:OLEObject Type="Embed" ProgID="MSPhotoEd.3" ShapeID="_x0000_i1027" DrawAspect="Content" ObjectID="_1552735573" r:id="rId11"/>
                    </w:objec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Дистрибьютор компании</w:t>
                  </w:r>
                </w:p>
                <w:p w:rsidR="00C4294C" w:rsidRDefault="00C4294C" w:rsidP="00C4294C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A86F42">
                    <w:rPr>
                      <w:b/>
                      <w:sz w:val="24"/>
                      <w:szCs w:val="24"/>
                    </w:rPr>
                    <w:t>Benjamin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Moore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&amp;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A86F42">
                    <w:rPr>
                      <w:b/>
                      <w:sz w:val="24"/>
                      <w:szCs w:val="24"/>
                    </w:rPr>
                    <w:t>Co</w:t>
                  </w:r>
                  <w:r w:rsidRPr="00A86F42">
                    <w:rPr>
                      <w:b/>
                      <w:sz w:val="24"/>
                      <w:szCs w:val="24"/>
                      <w:lang w:val="ru-RU"/>
                    </w:rPr>
                    <w:t>. в России</w:t>
                  </w:r>
                </w:p>
                <w:p w:rsidR="00C4294C" w:rsidRDefault="00C4294C" w:rsidP="00C429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197110, </w:t>
                  </w:r>
                  <w:r>
                    <w:rPr>
                      <w:sz w:val="20"/>
                      <w:szCs w:val="20"/>
                    </w:rPr>
                    <w:t xml:space="preserve">г. Санкт- Петербург, </w:t>
                  </w:r>
                </w:p>
                <w:p w:rsidR="00726BFD" w:rsidRDefault="00726BFD" w:rsidP="00726B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Песочная наб., д.42,   к. 2, лит. А</w:t>
                  </w:r>
                </w:p>
                <w:p w:rsidR="00C4294C" w:rsidRPr="00726BFD" w:rsidRDefault="00C4294C" w:rsidP="00C429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726BFD">
                    <w:rPr>
                      <w:sz w:val="20"/>
                      <w:szCs w:val="20"/>
                    </w:rPr>
                    <w:t>./</w:t>
                  </w:r>
                  <w:r>
                    <w:rPr>
                      <w:sz w:val="20"/>
                      <w:szCs w:val="20"/>
                    </w:rPr>
                    <w:t>факс</w:t>
                  </w:r>
                  <w:r w:rsidRPr="00726BFD">
                    <w:rPr>
                      <w:sz w:val="20"/>
                      <w:szCs w:val="20"/>
                    </w:rPr>
                    <w:t xml:space="preserve"> (812) 635-99-69</w:t>
                  </w:r>
                </w:p>
                <w:p w:rsidR="00C4294C" w:rsidRPr="00E268D3" w:rsidRDefault="00C4294C" w:rsidP="00C4294C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E268D3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r w:rsidRPr="00E268D3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12" w:history="1">
                    <w:r w:rsidR="0053573F" w:rsidRPr="003E642C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</w:t>
                    </w:r>
                    <w:r w:rsidR="0053573F" w:rsidRPr="00E268D3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@</w:t>
                    </w:r>
                    <w:r w:rsidR="0053573F" w:rsidRPr="003E642C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r w:rsidR="0053573F" w:rsidRPr="00E268D3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 w:rsidR="0053573F" w:rsidRPr="003E642C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C4294C" w:rsidRPr="00E268D3" w:rsidRDefault="00C4294C" w:rsidP="00C4294C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E268D3">
                    <w:rPr>
                      <w:rFonts w:eastAsia="Arial Unicode MS"/>
                      <w:lang w:val="en-US"/>
                    </w:rPr>
                    <w:t xml:space="preserve">          </w:t>
                  </w:r>
                  <w:hyperlink r:id="rId13" w:history="1"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</w:t>
                    </w:r>
                    <w:r w:rsidRPr="00E268D3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benjaminmoore</w:t>
                    </w:r>
                    <w:r w:rsidRPr="00E268D3"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Style w:val="a6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C4294C" w:rsidRPr="00E268D3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</w:p>
                <w:p w:rsidR="00C4294C" w:rsidRPr="00726BFD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726BFD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C4294C" w:rsidRPr="00726BFD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726BFD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726BFD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726BFD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726BFD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C4294C" w:rsidRDefault="00C4294C" w:rsidP="00C4294C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51 Честнат Роуд, Монтвейл, Нью-Джерси, США</w:t>
                  </w:r>
                </w:p>
                <w:p w:rsidR="00C4294C" w:rsidRPr="00C4294C" w:rsidRDefault="00C4294C" w:rsidP="00D0075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56192" stroked="f">
            <v:textbox style="mso-next-textbox:#_x0000_s1026">
              <w:txbxContent>
                <w:p w:rsidR="00C4294C" w:rsidRPr="00504514" w:rsidRDefault="00C4294C" w:rsidP="008E2796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C4294C" w:rsidRPr="00995148" w:rsidRDefault="00C4294C" w:rsidP="008E2796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C4294C" w:rsidRDefault="00C4294C" w:rsidP="008E27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C4294C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C4294C" w:rsidRPr="005F11B0" w:rsidRDefault="00C4294C" w:rsidP="008E27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 Moore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C4294C" w:rsidRPr="00504514" w:rsidRDefault="00C4294C" w:rsidP="008E2796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C4294C" w:rsidRPr="00EA2B0A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самогрунтующиеся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заколерованная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C4294C" w:rsidRPr="00504514" w:rsidRDefault="00C4294C" w:rsidP="0082488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C4294C" w:rsidRPr="00E22AB4" w:rsidRDefault="00C4294C" w:rsidP="0082488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E22AB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E22AB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C4294C" w:rsidRPr="00E22AB4" w:rsidRDefault="00C4294C" w:rsidP="0082488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C4294C" w:rsidRPr="0082488B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Гипсокартон: 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3A08F9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3A08F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 Masonry Interior/Exterior Hi-build Block Filler (206)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d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Metal Primer (P06)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8645C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C4294C" w:rsidRPr="008E2796" w:rsidRDefault="00C4294C" w:rsidP="0082488B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750" w:rsidRPr="00CC2E9D" w:rsidRDefault="00D00750" w:rsidP="00D00750">
      <w:pPr>
        <w:tabs>
          <w:tab w:val="left" w:pos="6060"/>
        </w:tabs>
      </w:pPr>
      <w:r>
        <w:tab/>
      </w:r>
    </w:p>
    <w:p w:rsidR="00D00750" w:rsidRPr="001021EB" w:rsidRDefault="00D00750" w:rsidP="00D00750"/>
    <w:p w:rsidR="006A5942" w:rsidRPr="00D00750" w:rsidRDefault="006A5942" w:rsidP="00D00750"/>
    <w:sectPr w:rsidR="006A5942" w:rsidRPr="00D00750" w:rsidSect="009F7B39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4C" w:rsidRDefault="00C4294C">
      <w:r>
        <w:separator/>
      </w:r>
    </w:p>
  </w:endnote>
  <w:endnote w:type="continuationSeparator" w:id="1">
    <w:p w:rsidR="00C4294C" w:rsidRDefault="00C4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4C" w:rsidRDefault="00C4294C">
      <w:r>
        <w:separator/>
      </w:r>
    </w:p>
  </w:footnote>
  <w:footnote w:type="continuationSeparator" w:id="1">
    <w:p w:rsidR="00C4294C" w:rsidRDefault="00C42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42"/>
    <w:rsid w:val="000069AB"/>
    <w:rsid w:val="000348BC"/>
    <w:rsid w:val="00037A8F"/>
    <w:rsid w:val="00090CFD"/>
    <w:rsid w:val="000B035C"/>
    <w:rsid w:val="000C1072"/>
    <w:rsid w:val="001132CC"/>
    <w:rsid w:val="001555AD"/>
    <w:rsid w:val="001667F5"/>
    <w:rsid w:val="0020435B"/>
    <w:rsid w:val="00217575"/>
    <w:rsid w:val="00277492"/>
    <w:rsid w:val="0027792B"/>
    <w:rsid w:val="00277A7D"/>
    <w:rsid w:val="002A57A5"/>
    <w:rsid w:val="002B403F"/>
    <w:rsid w:val="00300EB3"/>
    <w:rsid w:val="00313C3D"/>
    <w:rsid w:val="00315E23"/>
    <w:rsid w:val="003328B2"/>
    <w:rsid w:val="003504DD"/>
    <w:rsid w:val="003805F6"/>
    <w:rsid w:val="003B5097"/>
    <w:rsid w:val="003D73D1"/>
    <w:rsid w:val="0045511C"/>
    <w:rsid w:val="00457428"/>
    <w:rsid w:val="00470948"/>
    <w:rsid w:val="00512978"/>
    <w:rsid w:val="0053573F"/>
    <w:rsid w:val="005E17D7"/>
    <w:rsid w:val="00623D5B"/>
    <w:rsid w:val="00645152"/>
    <w:rsid w:val="0066183E"/>
    <w:rsid w:val="006A5942"/>
    <w:rsid w:val="007145A3"/>
    <w:rsid w:val="0071661E"/>
    <w:rsid w:val="00726BFD"/>
    <w:rsid w:val="00781A66"/>
    <w:rsid w:val="007B64E4"/>
    <w:rsid w:val="0082488B"/>
    <w:rsid w:val="0083544B"/>
    <w:rsid w:val="00841227"/>
    <w:rsid w:val="008645C1"/>
    <w:rsid w:val="008A12C6"/>
    <w:rsid w:val="008E2796"/>
    <w:rsid w:val="00924715"/>
    <w:rsid w:val="00934701"/>
    <w:rsid w:val="00991E93"/>
    <w:rsid w:val="009A06EF"/>
    <w:rsid w:val="009B428E"/>
    <w:rsid w:val="009E416F"/>
    <w:rsid w:val="009F7B39"/>
    <w:rsid w:val="00A06200"/>
    <w:rsid w:val="00A11C3C"/>
    <w:rsid w:val="00A953BC"/>
    <w:rsid w:val="00AD420E"/>
    <w:rsid w:val="00B0442B"/>
    <w:rsid w:val="00B51502"/>
    <w:rsid w:val="00B74B32"/>
    <w:rsid w:val="00B81242"/>
    <w:rsid w:val="00BC2889"/>
    <w:rsid w:val="00C3545F"/>
    <w:rsid w:val="00C4294C"/>
    <w:rsid w:val="00C64FC6"/>
    <w:rsid w:val="00C7463F"/>
    <w:rsid w:val="00D00550"/>
    <w:rsid w:val="00D00750"/>
    <w:rsid w:val="00D40B01"/>
    <w:rsid w:val="00D60883"/>
    <w:rsid w:val="00D65905"/>
    <w:rsid w:val="00D712B0"/>
    <w:rsid w:val="00D83265"/>
    <w:rsid w:val="00E04479"/>
    <w:rsid w:val="00E2483A"/>
    <w:rsid w:val="00E268D3"/>
    <w:rsid w:val="00E47E28"/>
    <w:rsid w:val="00E8265F"/>
    <w:rsid w:val="00EE1E73"/>
    <w:rsid w:val="00EF7479"/>
    <w:rsid w:val="00F25D52"/>
    <w:rsid w:val="00F61E99"/>
    <w:rsid w:val="00F94058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B39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F7B39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9F7B39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9F7B3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7B39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9F7B39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B39"/>
    <w:pPr>
      <w:jc w:val="both"/>
    </w:pPr>
    <w:rPr>
      <w:b/>
      <w:bCs/>
    </w:rPr>
  </w:style>
  <w:style w:type="paragraph" w:styleId="21">
    <w:name w:val="Body Text 2"/>
    <w:basedOn w:val="a"/>
    <w:link w:val="22"/>
    <w:rsid w:val="009F7B39"/>
    <w:pPr>
      <w:jc w:val="both"/>
    </w:pPr>
  </w:style>
  <w:style w:type="paragraph" w:styleId="30">
    <w:name w:val="Body Text 3"/>
    <w:basedOn w:val="a"/>
    <w:rsid w:val="009F7B39"/>
    <w:pPr>
      <w:jc w:val="both"/>
    </w:pPr>
    <w:rPr>
      <w:bCs/>
      <w:sz w:val="16"/>
    </w:rPr>
  </w:style>
  <w:style w:type="paragraph" w:styleId="a5">
    <w:name w:val="Body Text Indent"/>
    <w:basedOn w:val="a"/>
    <w:rsid w:val="009F7B39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9F7B39"/>
    <w:pPr>
      <w:ind w:left="92"/>
      <w:jc w:val="both"/>
    </w:pPr>
    <w:rPr>
      <w:sz w:val="20"/>
    </w:rPr>
  </w:style>
  <w:style w:type="character" w:styleId="a6">
    <w:name w:val="Hyperlink"/>
    <w:basedOn w:val="a0"/>
    <w:rsid w:val="009F7B39"/>
    <w:rPr>
      <w:color w:val="0000FF"/>
      <w:u w:val="single"/>
    </w:rPr>
  </w:style>
  <w:style w:type="paragraph" w:styleId="a7">
    <w:name w:val="header"/>
    <w:basedOn w:val="a"/>
    <w:link w:val="a8"/>
    <w:rsid w:val="009F7B3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9F7B3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9F7B39"/>
    <w:rPr>
      <w:color w:val="800080"/>
      <w:u w:val="single"/>
    </w:rPr>
  </w:style>
  <w:style w:type="table" w:styleId="ab">
    <w:name w:val="Table Grid"/>
    <w:basedOn w:val="a1"/>
    <w:rsid w:val="00841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njaminmoo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enjaminmoo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AA0C-268F-45EE-A142-78B77F1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4778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Секретарь</cp:lastModifiedBy>
  <cp:revision>18</cp:revision>
  <cp:lastPrinted>2015-04-24T11:24:00Z</cp:lastPrinted>
  <dcterms:created xsi:type="dcterms:W3CDTF">2014-04-01T04:01:00Z</dcterms:created>
  <dcterms:modified xsi:type="dcterms:W3CDTF">2017-04-03T11:40:00Z</dcterms:modified>
</cp:coreProperties>
</file>